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EDAE6" w14:textId="77777777" w:rsidR="00DD4B06" w:rsidRDefault="00DD4B06" w:rsidP="00DD4B06">
      <w:pPr>
        <w:pStyle w:val="Normal1"/>
        <w:ind w:right="450"/>
        <w:jc w:val="center"/>
        <w:rPr>
          <w:b/>
          <w:color w:val="auto"/>
          <w:sz w:val="28"/>
        </w:rPr>
      </w:pPr>
      <w:bookmarkStart w:id="0" w:name="_GoBack"/>
      <w:bookmarkEnd w:id="0"/>
    </w:p>
    <w:p w14:paraId="7D1B0CA7" w14:textId="508F2427" w:rsidR="00DD4B06" w:rsidRDefault="00DD4B06" w:rsidP="00DD4B06">
      <w:pPr>
        <w:pStyle w:val="Normal1"/>
        <w:ind w:right="450"/>
        <w:jc w:val="center"/>
        <w:rPr>
          <w:b/>
          <w:color w:val="auto"/>
          <w:sz w:val="28"/>
        </w:rPr>
      </w:pPr>
      <w:r w:rsidRPr="00A17D0B">
        <w:rPr>
          <w:b/>
          <w:color w:val="auto"/>
          <w:sz w:val="28"/>
        </w:rPr>
        <w:t>Re</w:t>
      </w:r>
      <w:r>
        <w:rPr>
          <w:b/>
          <w:color w:val="auto"/>
          <w:sz w:val="28"/>
        </w:rPr>
        <w:t>source Stability</w:t>
      </w:r>
    </w:p>
    <w:p w14:paraId="3ABBC55C" w14:textId="77777777" w:rsidR="00DD4B06" w:rsidRPr="00A17D0B" w:rsidRDefault="00DD4B06" w:rsidP="00DD4B06">
      <w:pPr>
        <w:pStyle w:val="Normal1"/>
        <w:ind w:right="450"/>
        <w:jc w:val="center"/>
        <w:rPr>
          <w:color w:val="auto"/>
        </w:rPr>
      </w:pPr>
    </w:p>
    <w:p w14:paraId="642811AD" w14:textId="77777777" w:rsidR="00DD4B06" w:rsidRPr="00A17D0B" w:rsidRDefault="00DD4B06" w:rsidP="00DD4B06">
      <w:pPr>
        <w:pStyle w:val="Normal1"/>
        <w:rPr>
          <w:color w:val="auto"/>
        </w:rPr>
      </w:pPr>
      <w:r w:rsidRPr="00A17D0B">
        <w:rPr>
          <w:color w:val="auto"/>
        </w:rPr>
        <w:t>Sustainability research clearly identifies stable and adequate financing as a pillar of sustainability.</w:t>
      </w:r>
      <w:r w:rsidRPr="00A17D0B">
        <w:rPr>
          <w:color w:val="auto"/>
          <w:vertAlign w:val="superscript"/>
        </w:rPr>
        <w:footnoteReference w:id="1"/>
      </w:r>
      <w:r w:rsidRPr="00A17D0B">
        <w:rPr>
          <w:color w:val="auto"/>
        </w:rPr>
        <w:t xml:space="preserve"> Sustaining school health programs without dedicated federal or state funding is a consistent challenge; paired with the reality that the education system does not always embrace health as a core function. Building strong partnerships and securing sustained funding go hand in hand for any community program. Many successfully sustained community programs report that sustained funding was a result of connecting with broad array of partners and policymakers and being in the “right place at the right time.”</w:t>
      </w:r>
      <w:r w:rsidRPr="00A17D0B">
        <w:rPr>
          <w:color w:val="auto"/>
          <w:vertAlign w:val="superscript"/>
        </w:rPr>
        <w:footnoteReference w:id="2"/>
      </w:r>
      <w:r w:rsidRPr="00A17D0B">
        <w:rPr>
          <w:color w:val="auto"/>
        </w:rPr>
        <w:t xml:space="preserve"> However, leveraging strategic partnerships may be even more important for sustaining school health work, given the economic climate in which they operate. Capacit</w:t>
      </w:r>
      <w:r>
        <w:rPr>
          <w:color w:val="auto"/>
        </w:rPr>
        <w:t>y for school health is an often-</w:t>
      </w:r>
      <w:r w:rsidRPr="00A17D0B">
        <w:rPr>
          <w:color w:val="auto"/>
        </w:rPr>
        <w:t>cited barrier to successful implementation and sustainability.</w:t>
      </w:r>
      <w:r w:rsidRPr="00A17D0B">
        <w:rPr>
          <w:color w:val="auto"/>
          <w:vertAlign w:val="superscript"/>
        </w:rPr>
        <w:footnoteReference w:id="3"/>
      </w:r>
      <w:r w:rsidRPr="00A17D0B">
        <w:rPr>
          <w:color w:val="auto"/>
        </w:rPr>
        <w:t xml:space="preserve"> As such, we recommend funding strategies that translate into staff positions that are explicitly focused on coordinating school health work.</w:t>
      </w:r>
      <w:r>
        <w:rPr>
          <w:color w:val="auto"/>
        </w:rPr>
        <w:t xml:space="preserve"> Furthermore, demonstrating and communicating results of successful programs to gain new funding and sustain current funding is imperative.</w:t>
      </w:r>
    </w:p>
    <w:p w14:paraId="703B06F1" w14:textId="77777777" w:rsidR="00DD4B06" w:rsidRPr="00A17D0B" w:rsidRDefault="00DD4B06" w:rsidP="00DD4B06">
      <w:pPr>
        <w:pStyle w:val="Normal1"/>
        <w:rPr>
          <w:color w:val="auto"/>
        </w:rPr>
      </w:pPr>
    </w:p>
    <w:p w14:paraId="23863760" w14:textId="77777777" w:rsidR="00DD4B06" w:rsidRPr="00A17D0B" w:rsidRDefault="00DD4B06" w:rsidP="00DD4B06">
      <w:pPr>
        <w:pStyle w:val="Normal1"/>
        <w:rPr>
          <w:color w:val="auto"/>
        </w:rPr>
      </w:pPr>
      <w:r w:rsidRPr="00A17D0B">
        <w:rPr>
          <w:color w:val="auto"/>
        </w:rPr>
        <w:t>Key components of resource stability include:</w:t>
      </w:r>
    </w:p>
    <w:p w14:paraId="6F072009" w14:textId="77777777" w:rsidR="00DD4B06" w:rsidRPr="00A17D0B" w:rsidRDefault="00DD4B06" w:rsidP="00DD4B06">
      <w:pPr>
        <w:pStyle w:val="Normal1"/>
        <w:numPr>
          <w:ilvl w:val="0"/>
          <w:numId w:val="2"/>
        </w:numPr>
        <w:ind w:hanging="359"/>
        <w:contextualSpacing/>
        <w:rPr>
          <w:color w:val="auto"/>
        </w:rPr>
      </w:pPr>
      <w:r w:rsidRPr="00A17D0B">
        <w:rPr>
          <w:color w:val="auto"/>
        </w:rPr>
        <w:t>The program exists in a supportive economic climate</w:t>
      </w:r>
    </w:p>
    <w:p w14:paraId="7F64E204" w14:textId="77777777" w:rsidR="00DD4B06" w:rsidRPr="00A17D0B" w:rsidRDefault="00DD4B06" w:rsidP="00DD4B06">
      <w:pPr>
        <w:pStyle w:val="Normal1"/>
        <w:numPr>
          <w:ilvl w:val="0"/>
          <w:numId w:val="1"/>
        </w:numPr>
        <w:ind w:hanging="359"/>
        <w:contextualSpacing/>
        <w:rPr>
          <w:color w:val="auto"/>
        </w:rPr>
      </w:pPr>
      <w:r w:rsidRPr="00A17D0B">
        <w:rPr>
          <w:color w:val="auto"/>
        </w:rPr>
        <w:t>The program implements policies to help ensure sustained funding.</w:t>
      </w:r>
    </w:p>
    <w:p w14:paraId="5C3FB142" w14:textId="77777777" w:rsidR="00DD4B06" w:rsidRPr="00A17D0B" w:rsidRDefault="00DD4B06" w:rsidP="00DD4B06">
      <w:pPr>
        <w:pStyle w:val="Normal1"/>
        <w:numPr>
          <w:ilvl w:val="0"/>
          <w:numId w:val="1"/>
        </w:numPr>
        <w:ind w:hanging="359"/>
        <w:contextualSpacing/>
        <w:rPr>
          <w:color w:val="auto"/>
        </w:rPr>
      </w:pPr>
      <w:r w:rsidRPr="00A17D0B">
        <w:rPr>
          <w:color w:val="auto"/>
        </w:rPr>
        <w:t>Program is funded through a variety of sources.</w:t>
      </w:r>
    </w:p>
    <w:p w14:paraId="128009EB" w14:textId="77777777" w:rsidR="00DD4B06" w:rsidRPr="00A17D0B" w:rsidRDefault="00DD4B06" w:rsidP="00DD4B06">
      <w:pPr>
        <w:pStyle w:val="Normal1"/>
        <w:numPr>
          <w:ilvl w:val="0"/>
          <w:numId w:val="1"/>
        </w:numPr>
        <w:ind w:hanging="359"/>
        <w:contextualSpacing/>
        <w:rPr>
          <w:color w:val="auto"/>
        </w:rPr>
      </w:pPr>
      <w:r w:rsidRPr="00A17D0B">
        <w:rPr>
          <w:color w:val="auto"/>
        </w:rPr>
        <w:t>The program has a combination of stable and flexible funding.</w:t>
      </w:r>
    </w:p>
    <w:p w14:paraId="55094726" w14:textId="77777777" w:rsidR="00DD4B06" w:rsidRPr="00A17D0B" w:rsidRDefault="00DD4B06" w:rsidP="00DD4B06">
      <w:pPr>
        <w:pStyle w:val="Normal1"/>
        <w:numPr>
          <w:ilvl w:val="0"/>
          <w:numId w:val="1"/>
        </w:numPr>
        <w:ind w:hanging="359"/>
        <w:contextualSpacing/>
        <w:rPr>
          <w:color w:val="auto"/>
        </w:rPr>
      </w:pPr>
      <w:r w:rsidRPr="00A17D0B">
        <w:rPr>
          <w:color w:val="auto"/>
        </w:rPr>
        <w:t xml:space="preserve">The program has sustained funding. </w:t>
      </w:r>
    </w:p>
    <w:p w14:paraId="602BF699" w14:textId="1E6ABBD2" w:rsidR="00C861F1" w:rsidRPr="00D76CE7" w:rsidRDefault="00F311EB" w:rsidP="00DD4B06">
      <w:pPr>
        <w:rPr>
          <w:sz w:val="22"/>
        </w:rPr>
      </w:pPr>
    </w:p>
    <w:sectPr w:rsidR="00C861F1" w:rsidRPr="00D76CE7" w:rsidSect="00D76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6D7B3" w14:textId="77777777" w:rsidR="00F549E9" w:rsidRDefault="00652D89">
      <w:r>
        <w:separator/>
      </w:r>
    </w:p>
  </w:endnote>
  <w:endnote w:type="continuationSeparator" w:id="0">
    <w:p w14:paraId="7BFA9450" w14:textId="77777777" w:rsidR="00F549E9" w:rsidRDefault="0065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5B281" w14:textId="77777777" w:rsidR="009D4638" w:rsidRDefault="009D4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43430" w14:textId="0BF2759E" w:rsidR="00CC5E63" w:rsidRDefault="00CC5E63" w:rsidP="00CC5E63">
    <w:pPr>
      <w:pStyle w:val="Footer"/>
      <w:jc w:val="center"/>
      <w:rPr>
        <w:rFonts w:ascii="Helvetica Neue" w:hAnsi="Helvetica Neue"/>
        <w:color w:val="808080"/>
        <w:sz w:val="17"/>
      </w:rPr>
    </w:pPr>
    <w:r>
      <w:rPr>
        <w:rFonts w:ascii="Helvetica Neue" w:hAnsi="Helvetica Neue"/>
        <w:color w:val="808080"/>
        <w:sz w:val="17"/>
      </w:rPr>
      <w:t xml:space="preserve">|  503.784.2932  | </w:t>
    </w:r>
    <w:hyperlink r:id="rId1" w:history="1">
      <w:r w:rsidRPr="002819B7">
        <w:rPr>
          <w:rStyle w:val="Hyperlink"/>
          <w:rFonts w:ascii="Helvetica Neue" w:hAnsi="Helvetica Neue"/>
          <w:sz w:val="17"/>
        </w:rPr>
        <w:t>info@cairnguidance.com</w:t>
      </w:r>
    </w:hyperlink>
    <w:r>
      <w:rPr>
        <w:rFonts w:ascii="Helvetica Neue" w:hAnsi="Helvetica Neue"/>
        <w:color w:val="808080"/>
        <w:sz w:val="17"/>
      </w:rPr>
      <w:t xml:space="preserve"> |  cairnguidance.com</w:t>
    </w:r>
  </w:p>
  <w:p w14:paraId="4E74E2B0" w14:textId="77777777" w:rsidR="00C861F1" w:rsidRDefault="00F311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BBAEA" w14:textId="77777777" w:rsidR="009D4638" w:rsidRDefault="009D4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046B1" w14:textId="77777777" w:rsidR="00F549E9" w:rsidRDefault="00652D89">
      <w:r>
        <w:separator/>
      </w:r>
    </w:p>
  </w:footnote>
  <w:footnote w:type="continuationSeparator" w:id="0">
    <w:p w14:paraId="31E65220" w14:textId="77777777" w:rsidR="00F549E9" w:rsidRDefault="00652D89">
      <w:r>
        <w:continuationSeparator/>
      </w:r>
    </w:p>
  </w:footnote>
  <w:footnote w:id="1">
    <w:p w14:paraId="5FFB6148" w14:textId="77777777" w:rsidR="00DD4B06" w:rsidRDefault="00DD4B06" w:rsidP="00DD4B06">
      <w:pPr>
        <w:pStyle w:val="Normal1"/>
      </w:pPr>
      <w:r>
        <w:rPr>
          <w:vertAlign w:val="superscript"/>
        </w:rPr>
        <w:footnoteRef/>
      </w:r>
      <w:r>
        <w:rPr>
          <w:sz w:val="20"/>
        </w:rPr>
        <w:t xml:space="preserve"> Johnson K, Hayes C, Center H, Daley C. Building capacity and sustainable prevention innovations: a sustainability planning model. </w:t>
      </w:r>
      <w:r>
        <w:rPr>
          <w:i/>
          <w:sz w:val="20"/>
        </w:rPr>
        <w:t>Evaluation Program Planning</w:t>
      </w:r>
      <w:r>
        <w:rPr>
          <w:sz w:val="20"/>
        </w:rPr>
        <w:t xml:space="preserve"> 2004, 27(2), 135-49.</w:t>
      </w:r>
    </w:p>
  </w:footnote>
  <w:footnote w:id="2">
    <w:p w14:paraId="49CFF740" w14:textId="77777777" w:rsidR="00DD4B06" w:rsidRDefault="00DD4B06" w:rsidP="00DD4B06">
      <w:pPr>
        <w:pStyle w:val="Normal1"/>
      </w:pPr>
      <w:r>
        <w:rPr>
          <w:vertAlign w:val="superscript"/>
        </w:rPr>
        <w:footnoteRef/>
      </w:r>
      <w:r>
        <w:rPr>
          <w:sz w:val="20"/>
        </w:rPr>
        <w:t xml:space="preserve"> The Cornerstone Consulting Group. End Games: The Challenge of Sustainability. Annie E. Casey Foundation. 2002.</w:t>
      </w:r>
    </w:p>
  </w:footnote>
  <w:footnote w:id="3">
    <w:p w14:paraId="4A4D21E6" w14:textId="77777777" w:rsidR="00DD4B06" w:rsidRDefault="00DD4B06" w:rsidP="00DD4B06">
      <w:pPr>
        <w:pStyle w:val="Normal1"/>
      </w:pPr>
      <w:r w:rsidRPr="00E557F2">
        <w:rPr>
          <w:sz w:val="20"/>
          <w:vertAlign w:val="superscript"/>
        </w:rPr>
        <w:footnoteRef/>
      </w:r>
      <w:r w:rsidRPr="00C56198">
        <w:rPr>
          <w:sz w:val="20"/>
        </w:rPr>
        <w:t xml:space="preserve"> </w:t>
      </w:r>
      <w:r w:rsidRPr="00E557F2">
        <w:rPr>
          <w:sz w:val="20"/>
        </w:rPr>
        <w:t xml:space="preserve"> </w:t>
      </w:r>
      <w:proofErr w:type="spellStart"/>
      <w:r w:rsidRPr="00E557F2">
        <w:rPr>
          <w:sz w:val="20"/>
        </w:rPr>
        <w:t>Basch</w:t>
      </w:r>
      <w:proofErr w:type="spellEnd"/>
      <w:r w:rsidRPr="00E557F2">
        <w:rPr>
          <w:sz w:val="20"/>
        </w:rPr>
        <w:t>, CE. Healthier students are better learners: High-quality, strategically planned, and effectively</w:t>
      </w:r>
      <w:r>
        <w:rPr>
          <w:sz w:val="20"/>
        </w:rPr>
        <w:t xml:space="preserve"> </w:t>
      </w:r>
      <w:r w:rsidRPr="00E557F2">
        <w:rPr>
          <w:sz w:val="20"/>
        </w:rPr>
        <w:t xml:space="preserve">coordinated school health programs must be a fundamental mission of schools to help close the achievement gap. </w:t>
      </w:r>
      <w:r w:rsidRPr="00E557F2">
        <w:rPr>
          <w:i/>
          <w:sz w:val="20"/>
        </w:rPr>
        <w:t>Journal of School Health</w:t>
      </w:r>
      <w:r w:rsidRPr="00E557F2">
        <w:rPr>
          <w:sz w:val="20"/>
        </w:rPr>
        <w:t>. 2011; 81(10): 650–662</w:t>
      </w:r>
      <w:r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E6BF3" w14:textId="77777777" w:rsidR="009D4638" w:rsidRDefault="009D46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7511" w14:textId="77777777" w:rsidR="00C861F1" w:rsidRDefault="00C81A32" w:rsidP="00DD4B06">
    <w:pPr>
      <w:pStyle w:val="Header"/>
      <w:jc w:val="center"/>
    </w:pPr>
    <w:r>
      <w:rPr>
        <w:noProof/>
      </w:rPr>
      <w:drawing>
        <wp:inline distT="0" distB="0" distL="0" distR="0" wp14:anchorId="36E62B0F" wp14:editId="370EA34F">
          <wp:extent cx="1358861" cy="1145540"/>
          <wp:effectExtent l="0" t="0" r="0" b="0"/>
          <wp:docPr id="1" name="Picture 1" descr="jess bogli:Users:jandj:Dropbox:Cairn Consulting:Communications:Identity:New Identity 2012:LOGO:FINAL:cairn_4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ss bogli:Users:jandj:Dropbox:Cairn Consulting:Communications:Identity:New Identity 2012:LOGO:FINAL:cairn_4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861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F57DE" w14:textId="77777777" w:rsidR="009D4638" w:rsidRDefault="009D4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14C5F"/>
    <w:multiLevelType w:val="multilevel"/>
    <w:tmpl w:val="269202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85D0033"/>
    <w:multiLevelType w:val="multilevel"/>
    <w:tmpl w:val="AD843D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7B"/>
    <w:rsid w:val="001C1EF9"/>
    <w:rsid w:val="002D147B"/>
    <w:rsid w:val="00595913"/>
    <w:rsid w:val="00652D89"/>
    <w:rsid w:val="009D4638"/>
    <w:rsid w:val="00C519BE"/>
    <w:rsid w:val="00C81A32"/>
    <w:rsid w:val="00CC5E63"/>
    <w:rsid w:val="00CF01A1"/>
    <w:rsid w:val="00DD4B06"/>
    <w:rsid w:val="00EE0FF1"/>
    <w:rsid w:val="00F311EB"/>
    <w:rsid w:val="00F35585"/>
    <w:rsid w:val="00F54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2A40F97"/>
  <w15:docId w15:val="{25692130-DF62-4459-8610-4592C99F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9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23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6623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6623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623F"/>
    <w:rPr>
      <w:sz w:val="24"/>
    </w:rPr>
  </w:style>
  <w:style w:type="character" w:styleId="Hyperlink">
    <w:name w:val="Hyperlink"/>
    <w:basedOn w:val="DefaultParagraphFont"/>
    <w:uiPriority w:val="99"/>
    <w:unhideWhenUsed/>
    <w:rsid w:val="005959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32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DD4B06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irnguidan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1A99-198D-49B8-BB16-908A5582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bogli</dc:creator>
  <cp:keywords/>
  <cp:lastModifiedBy>Lisa Mahoney</cp:lastModifiedBy>
  <cp:revision>2</cp:revision>
  <cp:lastPrinted>2016-08-17T14:50:00Z</cp:lastPrinted>
  <dcterms:created xsi:type="dcterms:W3CDTF">2016-08-17T14:51:00Z</dcterms:created>
  <dcterms:modified xsi:type="dcterms:W3CDTF">2016-08-17T14:51:00Z</dcterms:modified>
</cp:coreProperties>
</file>