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F699" w14:textId="2D39017B" w:rsidR="00C861F1" w:rsidRDefault="0036316F" w:rsidP="0039148C">
      <w:pPr>
        <w:ind w:left="450"/>
        <w:rPr>
          <w:sz w:val="22"/>
        </w:rPr>
      </w:pPr>
      <w:bookmarkStart w:id="0" w:name="_GoBack"/>
      <w:bookmarkEnd w:id="0"/>
    </w:p>
    <w:p w14:paraId="7EFAA5BE" w14:textId="77777777" w:rsidR="0039148C" w:rsidRDefault="0039148C" w:rsidP="0039148C">
      <w:pPr>
        <w:ind w:left="450"/>
        <w:rPr>
          <w:sz w:val="22"/>
        </w:rPr>
      </w:pPr>
    </w:p>
    <w:p w14:paraId="70B576F6" w14:textId="7CA1AED4" w:rsidR="0039148C" w:rsidRPr="00261637" w:rsidRDefault="0039148C" w:rsidP="0039148C">
      <w:pPr>
        <w:ind w:left="450"/>
        <w:jc w:val="center"/>
        <w:rPr>
          <w:b/>
          <w:sz w:val="28"/>
          <w:szCs w:val="28"/>
        </w:rPr>
      </w:pPr>
      <w:r w:rsidRPr="00261637">
        <w:rPr>
          <w:b/>
          <w:sz w:val="28"/>
          <w:szCs w:val="28"/>
        </w:rPr>
        <w:t>Alignment to Education Accountability Measures</w:t>
      </w:r>
    </w:p>
    <w:p w14:paraId="3DBD3863" w14:textId="77777777" w:rsidR="00261637" w:rsidRDefault="00261637" w:rsidP="0039148C">
      <w:pPr>
        <w:ind w:left="450"/>
        <w:jc w:val="center"/>
        <w:rPr>
          <w:sz w:val="28"/>
          <w:szCs w:val="28"/>
        </w:rPr>
      </w:pPr>
    </w:p>
    <w:p w14:paraId="5EAF4BAE" w14:textId="1F290E06" w:rsidR="0039148C" w:rsidRPr="00A17D0B" w:rsidRDefault="0039148C" w:rsidP="0039148C">
      <w:pPr>
        <w:pStyle w:val="Normal1"/>
        <w:rPr>
          <w:color w:val="auto"/>
        </w:rPr>
      </w:pPr>
      <w:r w:rsidRPr="00A17D0B">
        <w:rPr>
          <w:color w:val="auto"/>
          <w:highlight w:val="white"/>
        </w:rPr>
        <w:t>Aligning and integrating</w:t>
      </w:r>
      <w:r>
        <w:rPr>
          <w:color w:val="auto"/>
          <w:highlight w:val="white"/>
        </w:rPr>
        <w:t xml:space="preserve"> a whole child approach with</w:t>
      </w:r>
      <w:r w:rsidRPr="00A17D0B">
        <w:rPr>
          <w:color w:val="auto"/>
          <w:highlight w:val="white"/>
        </w:rPr>
        <w:t xml:space="preserve"> health-related goals into education accountability measures is both an outcome, and enabling factor for sustainability. </w:t>
      </w:r>
    </w:p>
    <w:p w14:paraId="32055E9F" w14:textId="77777777" w:rsidR="0039148C" w:rsidRDefault="0039148C" w:rsidP="0039148C">
      <w:pPr>
        <w:pStyle w:val="Normal1"/>
        <w:widowControl w:val="0"/>
        <w:jc w:val="center"/>
        <w:rPr>
          <w:color w:val="auto"/>
          <w:sz w:val="20"/>
        </w:rPr>
      </w:pPr>
    </w:p>
    <w:p w14:paraId="130BBCE7" w14:textId="77777777" w:rsidR="0039148C" w:rsidRPr="00261637" w:rsidRDefault="0039148C" w:rsidP="0039148C">
      <w:pPr>
        <w:pStyle w:val="Normal1"/>
        <w:widowControl w:val="0"/>
        <w:jc w:val="center"/>
        <w:rPr>
          <w:color w:val="auto"/>
          <w:szCs w:val="24"/>
        </w:rPr>
      </w:pPr>
    </w:p>
    <w:p w14:paraId="635A7746" w14:textId="77777777" w:rsidR="0039148C" w:rsidRPr="00261637" w:rsidRDefault="0039148C" w:rsidP="0039148C">
      <w:pPr>
        <w:pStyle w:val="Normal1"/>
        <w:widowControl w:val="0"/>
        <w:jc w:val="center"/>
        <w:rPr>
          <w:color w:val="auto"/>
          <w:szCs w:val="24"/>
        </w:rPr>
      </w:pPr>
      <w:r w:rsidRPr="00261637">
        <w:rPr>
          <w:color w:val="auto"/>
          <w:szCs w:val="24"/>
        </w:rPr>
        <w:t>"</w:t>
      </w:r>
      <w:r w:rsidRPr="00261637">
        <w:rPr>
          <w:i/>
          <w:color w:val="auto"/>
          <w:szCs w:val="24"/>
        </w:rPr>
        <w:t xml:space="preserve">Health and education are related. They are interrelated. They are symbiotic. Boosting one boosts the other. There is a connection between the two sectors. When one fails so does the other. When one succeeds that success feeds the other. We do not just have an isolated duty to want the child to be healthy and educated—we have a moral imperative. Each of us that works with children must see our roles as </w:t>
      </w:r>
      <w:proofErr w:type="spellStart"/>
      <w:r w:rsidRPr="00261637">
        <w:rPr>
          <w:i/>
          <w:color w:val="auto"/>
          <w:szCs w:val="24"/>
        </w:rPr>
        <w:t>carers</w:t>
      </w:r>
      <w:proofErr w:type="spellEnd"/>
      <w:r w:rsidRPr="00261637">
        <w:rPr>
          <w:i/>
          <w:color w:val="auto"/>
          <w:szCs w:val="24"/>
        </w:rPr>
        <w:t>, as nurturers, as teachers in supporting the whole child.</w:t>
      </w:r>
      <w:r w:rsidRPr="00261637">
        <w:rPr>
          <w:color w:val="auto"/>
          <w:szCs w:val="24"/>
        </w:rPr>
        <w:t xml:space="preserve">" </w:t>
      </w:r>
    </w:p>
    <w:p w14:paraId="209EA9CC" w14:textId="77777777" w:rsidR="0039148C" w:rsidRPr="00261637" w:rsidRDefault="0039148C" w:rsidP="0039148C">
      <w:pPr>
        <w:pStyle w:val="Normal1"/>
        <w:widowControl w:val="0"/>
        <w:jc w:val="center"/>
        <w:rPr>
          <w:color w:val="auto"/>
          <w:szCs w:val="24"/>
        </w:rPr>
      </w:pPr>
    </w:p>
    <w:p w14:paraId="40AB02EB" w14:textId="77777777" w:rsidR="0039148C" w:rsidRPr="00261637" w:rsidRDefault="0039148C" w:rsidP="0039148C">
      <w:pPr>
        <w:ind w:left="450"/>
        <w:jc w:val="center"/>
      </w:pPr>
      <w:r w:rsidRPr="00261637">
        <w:t>-ASCD Executive Director and CEO Dr. Gene R. Carter in his Best Health Promotion Practice Award acceptance speech at the 21st International Union for Health Promotion and Education Conference.</w:t>
      </w:r>
    </w:p>
    <w:p w14:paraId="2176B7CF" w14:textId="77777777" w:rsidR="0039148C" w:rsidRDefault="0039148C" w:rsidP="0039148C">
      <w:pPr>
        <w:ind w:left="450"/>
        <w:jc w:val="center"/>
        <w:rPr>
          <w:sz w:val="20"/>
        </w:rPr>
      </w:pPr>
    </w:p>
    <w:p w14:paraId="050BD0C7" w14:textId="77777777" w:rsidR="00261637" w:rsidRDefault="00261637" w:rsidP="0039148C">
      <w:pPr>
        <w:pStyle w:val="Normal1"/>
        <w:rPr>
          <w:color w:val="auto"/>
          <w:highlight w:val="white"/>
        </w:rPr>
      </w:pPr>
    </w:p>
    <w:p w14:paraId="70BC8B10" w14:textId="77777777" w:rsidR="0039148C" w:rsidRPr="00A17D0B" w:rsidRDefault="0039148C" w:rsidP="0039148C">
      <w:pPr>
        <w:pStyle w:val="Normal1"/>
        <w:rPr>
          <w:color w:val="auto"/>
        </w:rPr>
      </w:pPr>
      <w:r w:rsidRPr="00A17D0B">
        <w:rPr>
          <w:color w:val="auto"/>
          <w:highlight w:val="white"/>
        </w:rPr>
        <w:t>Research confirms that health is a vital learning support, but the sheer number of challenges facing students may seem insurmountable for some schools. While many schools are implementing evidence-based health promoting programs, they are not part of the fabric of the education system. Leaders in education research and policy, as well as parents and students, have called for health to be integrated into the core mission of schools.</w:t>
      </w:r>
      <w:r w:rsidRPr="00A17D0B">
        <w:rPr>
          <w:color w:val="auto"/>
          <w:highlight w:val="white"/>
          <w:vertAlign w:val="superscript"/>
        </w:rPr>
        <w:footnoteReference w:id="1"/>
      </w:r>
      <w:r w:rsidRPr="00A17D0B">
        <w:rPr>
          <w:color w:val="auto"/>
          <w:highlight w:val="white"/>
        </w:rPr>
        <w:t xml:space="preserve"> At the same time, high school graduation has emerged as a key priority in health, and had been identified as a leading health indicator.</w:t>
      </w:r>
      <w:r w:rsidRPr="00A17D0B">
        <w:rPr>
          <w:color w:val="auto"/>
          <w:highlight w:val="white"/>
          <w:vertAlign w:val="superscript"/>
        </w:rPr>
        <w:footnoteReference w:id="2"/>
      </w:r>
      <w:r w:rsidRPr="00A17D0B">
        <w:rPr>
          <w:color w:val="auto"/>
          <w:highlight w:val="white"/>
          <w:vertAlign w:val="superscript"/>
        </w:rPr>
        <w:t>,</w:t>
      </w:r>
      <w:r w:rsidRPr="00A17D0B">
        <w:rPr>
          <w:color w:val="auto"/>
          <w:highlight w:val="white"/>
          <w:vertAlign w:val="superscript"/>
        </w:rPr>
        <w:footnoteReference w:id="3"/>
      </w:r>
    </w:p>
    <w:p w14:paraId="0C2FCF4A" w14:textId="77777777" w:rsidR="0039148C" w:rsidRPr="00A17D0B" w:rsidRDefault="0039148C" w:rsidP="0039148C">
      <w:pPr>
        <w:pStyle w:val="Normal1"/>
        <w:rPr>
          <w:color w:val="auto"/>
        </w:rPr>
      </w:pPr>
    </w:p>
    <w:p w14:paraId="213001B5" w14:textId="289B5374" w:rsidR="0039148C" w:rsidRPr="00A17D0B" w:rsidRDefault="0039148C" w:rsidP="0039148C">
      <w:pPr>
        <w:pStyle w:val="Normal1"/>
        <w:rPr>
          <w:color w:val="auto"/>
        </w:rPr>
      </w:pPr>
      <w:r w:rsidRPr="00A17D0B">
        <w:rPr>
          <w:color w:val="auto"/>
          <w:highlight w:val="white"/>
        </w:rPr>
        <w:t xml:space="preserve">Incorporating health-related indicators in state and local education accountability systems requires establishing matches between what the general public, parents, school districts and schools, school-community </w:t>
      </w:r>
      <w:proofErr w:type="spellStart"/>
      <w:r w:rsidRPr="00A17D0B">
        <w:rPr>
          <w:color w:val="auto"/>
          <w:highlight w:val="white"/>
        </w:rPr>
        <w:t>collaboratives</w:t>
      </w:r>
      <w:proofErr w:type="spellEnd"/>
      <w:r w:rsidRPr="00A17D0B">
        <w:rPr>
          <w:color w:val="auto"/>
          <w:highlight w:val="white"/>
        </w:rPr>
        <w:t>, decision makers, and school health program proponents believe are important to measure. Each audience needs to view information on health-related indicators as important to achieving education’s core mission.</w:t>
      </w:r>
      <w:r w:rsidRPr="00A17D0B">
        <w:rPr>
          <w:color w:val="auto"/>
          <w:highlight w:val="white"/>
          <w:vertAlign w:val="superscript"/>
        </w:rPr>
        <w:footnoteReference w:id="4"/>
      </w:r>
      <w:r w:rsidRPr="00A17D0B">
        <w:rPr>
          <w:color w:val="auto"/>
          <w:highlight w:val="white"/>
        </w:rPr>
        <w:t xml:space="preserve"> While the accountability systems will vary by state and locality, </w:t>
      </w:r>
      <w:r w:rsidR="00261637">
        <w:rPr>
          <w:color w:val="auto"/>
          <w:highlight w:val="white"/>
        </w:rPr>
        <w:t>school health programs</w:t>
      </w:r>
      <w:r w:rsidRPr="00A17D0B">
        <w:rPr>
          <w:color w:val="auto"/>
          <w:highlight w:val="white"/>
        </w:rPr>
        <w:t xml:space="preserve"> can map to the following key academic outcomes:</w:t>
      </w:r>
    </w:p>
    <w:p w14:paraId="49BE3C98" w14:textId="77777777" w:rsidR="0039148C" w:rsidRPr="00A17D0B" w:rsidRDefault="0039148C" w:rsidP="0039148C">
      <w:pPr>
        <w:pStyle w:val="Normal1"/>
        <w:numPr>
          <w:ilvl w:val="0"/>
          <w:numId w:val="2"/>
        </w:numPr>
        <w:ind w:hanging="359"/>
        <w:contextualSpacing/>
        <w:rPr>
          <w:color w:val="auto"/>
          <w:highlight w:val="white"/>
        </w:rPr>
      </w:pPr>
      <w:r w:rsidRPr="00A17D0B">
        <w:rPr>
          <w:color w:val="auto"/>
          <w:highlight w:val="white"/>
        </w:rPr>
        <w:t xml:space="preserve">Grades </w:t>
      </w:r>
    </w:p>
    <w:p w14:paraId="222763C5" w14:textId="77777777" w:rsidR="0039148C" w:rsidRPr="00A17D0B" w:rsidRDefault="0039148C" w:rsidP="0039148C">
      <w:pPr>
        <w:pStyle w:val="Normal1"/>
        <w:numPr>
          <w:ilvl w:val="0"/>
          <w:numId w:val="2"/>
        </w:numPr>
        <w:ind w:hanging="359"/>
        <w:contextualSpacing/>
        <w:rPr>
          <w:color w:val="auto"/>
          <w:highlight w:val="white"/>
        </w:rPr>
      </w:pPr>
      <w:r>
        <w:rPr>
          <w:color w:val="auto"/>
          <w:highlight w:val="white"/>
        </w:rPr>
        <w:t>Chronic absenteeism</w:t>
      </w:r>
      <w:r w:rsidRPr="00A17D0B">
        <w:rPr>
          <w:color w:val="auto"/>
          <w:highlight w:val="white"/>
        </w:rPr>
        <w:t xml:space="preserve"> </w:t>
      </w:r>
    </w:p>
    <w:p w14:paraId="5C2B3A28" w14:textId="77777777" w:rsidR="0039148C" w:rsidRDefault="0039148C" w:rsidP="0039148C">
      <w:pPr>
        <w:pStyle w:val="Normal1"/>
        <w:numPr>
          <w:ilvl w:val="0"/>
          <w:numId w:val="2"/>
        </w:numPr>
        <w:ind w:hanging="359"/>
        <w:contextualSpacing/>
        <w:rPr>
          <w:color w:val="auto"/>
          <w:highlight w:val="white"/>
        </w:rPr>
      </w:pPr>
      <w:r w:rsidRPr="00A17D0B">
        <w:rPr>
          <w:color w:val="auto"/>
          <w:highlight w:val="white"/>
        </w:rPr>
        <w:t>Discipline</w:t>
      </w:r>
    </w:p>
    <w:p w14:paraId="0162F637" w14:textId="77777777" w:rsidR="0039148C" w:rsidRDefault="0039148C" w:rsidP="0039148C">
      <w:pPr>
        <w:pStyle w:val="Normal1"/>
        <w:numPr>
          <w:ilvl w:val="0"/>
          <w:numId w:val="2"/>
        </w:numPr>
        <w:ind w:hanging="359"/>
        <w:contextualSpacing/>
        <w:rPr>
          <w:color w:val="auto"/>
          <w:highlight w:val="white"/>
        </w:rPr>
      </w:pPr>
      <w:r>
        <w:rPr>
          <w:color w:val="auto"/>
          <w:highlight w:val="white"/>
        </w:rPr>
        <w:t>Drop out/truancy</w:t>
      </w:r>
    </w:p>
    <w:p w14:paraId="4C8C3BC0" w14:textId="77777777" w:rsidR="0039148C" w:rsidRPr="00A17D0B" w:rsidRDefault="0039148C" w:rsidP="0039148C">
      <w:pPr>
        <w:pStyle w:val="Normal1"/>
        <w:numPr>
          <w:ilvl w:val="0"/>
          <w:numId w:val="2"/>
        </w:numPr>
        <w:ind w:hanging="359"/>
        <w:contextualSpacing/>
        <w:rPr>
          <w:color w:val="auto"/>
          <w:highlight w:val="white"/>
        </w:rPr>
      </w:pPr>
      <w:r>
        <w:rPr>
          <w:color w:val="auto"/>
          <w:highlight w:val="white"/>
        </w:rPr>
        <w:lastRenderedPageBreak/>
        <w:t>S</w:t>
      </w:r>
      <w:r w:rsidRPr="00A17D0B">
        <w:rPr>
          <w:color w:val="auto"/>
          <w:highlight w:val="white"/>
        </w:rPr>
        <w:t>chool climate</w:t>
      </w:r>
      <w:r>
        <w:rPr>
          <w:color w:val="auto"/>
          <w:highlight w:val="white"/>
        </w:rPr>
        <w:t xml:space="preserve"> and connectedness</w:t>
      </w:r>
    </w:p>
    <w:p w14:paraId="30D5E3D7" w14:textId="77777777" w:rsidR="00261637" w:rsidRDefault="00261637" w:rsidP="00261637">
      <w:pPr>
        <w:pStyle w:val="Normal1"/>
        <w:ind w:left="720"/>
        <w:contextualSpacing/>
        <w:rPr>
          <w:color w:val="auto"/>
          <w:highlight w:val="white"/>
        </w:rPr>
      </w:pPr>
    </w:p>
    <w:p w14:paraId="6516A3EC" w14:textId="7066BFB8" w:rsidR="00261637" w:rsidRPr="00261637" w:rsidRDefault="0039148C" w:rsidP="00261637">
      <w:pPr>
        <w:pStyle w:val="Normal1"/>
        <w:numPr>
          <w:ilvl w:val="0"/>
          <w:numId w:val="2"/>
        </w:numPr>
        <w:ind w:hanging="359"/>
        <w:contextualSpacing/>
        <w:rPr>
          <w:color w:val="auto"/>
          <w:highlight w:val="white"/>
        </w:rPr>
      </w:pPr>
      <w:r w:rsidRPr="00A17D0B">
        <w:rPr>
          <w:color w:val="auto"/>
          <w:highlight w:val="white"/>
        </w:rPr>
        <w:t>High School graduation</w:t>
      </w:r>
    </w:p>
    <w:p w14:paraId="4D9C92F5" w14:textId="77777777" w:rsidR="0039148C" w:rsidRPr="00A17D0B" w:rsidRDefault="0039148C" w:rsidP="0039148C">
      <w:pPr>
        <w:pStyle w:val="Normal1"/>
        <w:numPr>
          <w:ilvl w:val="0"/>
          <w:numId w:val="2"/>
        </w:numPr>
        <w:ind w:hanging="359"/>
        <w:contextualSpacing/>
        <w:rPr>
          <w:color w:val="auto"/>
          <w:highlight w:val="white"/>
        </w:rPr>
      </w:pPr>
      <w:r w:rsidRPr="00A17D0B">
        <w:rPr>
          <w:color w:val="auto"/>
          <w:highlight w:val="white"/>
        </w:rPr>
        <w:t xml:space="preserve">Staff </w:t>
      </w:r>
      <w:r>
        <w:rPr>
          <w:color w:val="auto"/>
          <w:highlight w:val="white"/>
        </w:rPr>
        <w:t xml:space="preserve">recruitment, </w:t>
      </w:r>
      <w:r w:rsidRPr="00A17D0B">
        <w:rPr>
          <w:color w:val="auto"/>
          <w:highlight w:val="white"/>
        </w:rPr>
        <w:t>retention</w:t>
      </w:r>
      <w:r>
        <w:rPr>
          <w:color w:val="auto"/>
          <w:highlight w:val="white"/>
        </w:rPr>
        <w:t>, absenteeism,</w:t>
      </w:r>
      <w:r w:rsidRPr="00A17D0B">
        <w:rPr>
          <w:color w:val="auto"/>
          <w:highlight w:val="white"/>
        </w:rPr>
        <w:t xml:space="preserve"> </w:t>
      </w:r>
      <w:proofErr w:type="spellStart"/>
      <w:r>
        <w:rPr>
          <w:color w:val="auto"/>
          <w:highlight w:val="white"/>
        </w:rPr>
        <w:t>presenteeism</w:t>
      </w:r>
      <w:proofErr w:type="spellEnd"/>
      <w:r>
        <w:rPr>
          <w:color w:val="auto"/>
          <w:highlight w:val="white"/>
        </w:rPr>
        <w:t xml:space="preserve"> </w:t>
      </w:r>
      <w:r w:rsidRPr="00A17D0B">
        <w:rPr>
          <w:color w:val="auto"/>
          <w:highlight w:val="white"/>
        </w:rPr>
        <w:t xml:space="preserve">and </w:t>
      </w:r>
      <w:r>
        <w:rPr>
          <w:color w:val="auto"/>
        </w:rPr>
        <w:t>well-being.</w:t>
      </w:r>
    </w:p>
    <w:p w14:paraId="0ABE97C6" w14:textId="77777777" w:rsidR="0039148C" w:rsidRPr="00A17D0B" w:rsidRDefault="0039148C" w:rsidP="0039148C">
      <w:pPr>
        <w:pStyle w:val="Normal1"/>
        <w:rPr>
          <w:color w:val="auto"/>
        </w:rPr>
      </w:pPr>
    </w:p>
    <w:p w14:paraId="13AEA2F4" w14:textId="77777777" w:rsidR="0039148C" w:rsidRPr="00A17D0B" w:rsidRDefault="0039148C" w:rsidP="0039148C">
      <w:pPr>
        <w:pStyle w:val="Normal1"/>
        <w:rPr>
          <w:color w:val="auto"/>
        </w:rPr>
      </w:pPr>
    </w:p>
    <w:p w14:paraId="2DAE2982" w14:textId="77777777" w:rsidR="0039148C" w:rsidRPr="00A17D0B" w:rsidRDefault="0039148C" w:rsidP="0039148C">
      <w:pPr>
        <w:pStyle w:val="Normal1"/>
        <w:rPr>
          <w:color w:val="auto"/>
        </w:rPr>
      </w:pPr>
      <w:r w:rsidRPr="00A17D0B">
        <w:rPr>
          <w:color w:val="auto"/>
          <w:highlight w:val="white"/>
        </w:rPr>
        <w:t>Key components include:</w:t>
      </w:r>
    </w:p>
    <w:p w14:paraId="0D7B22EB" w14:textId="77777777" w:rsidR="0039148C" w:rsidRPr="00A17D0B" w:rsidRDefault="0039148C" w:rsidP="0039148C">
      <w:pPr>
        <w:pStyle w:val="Normal1"/>
        <w:numPr>
          <w:ilvl w:val="0"/>
          <w:numId w:val="3"/>
        </w:numPr>
        <w:ind w:hanging="359"/>
        <w:contextualSpacing/>
        <w:rPr>
          <w:rFonts w:ascii="Arial" w:eastAsia="Arial" w:hAnsi="Arial" w:cs="Arial"/>
          <w:color w:val="auto"/>
        </w:rPr>
      </w:pPr>
      <w:r w:rsidRPr="00A17D0B">
        <w:rPr>
          <w:color w:val="auto"/>
          <w:highlight w:val="white"/>
        </w:rPr>
        <w:t>The program is well integrated into the operations of the school/district.</w:t>
      </w:r>
    </w:p>
    <w:p w14:paraId="47F737CF" w14:textId="77777777" w:rsidR="0039148C" w:rsidRPr="00A17D0B" w:rsidRDefault="0039148C" w:rsidP="0039148C">
      <w:pPr>
        <w:pStyle w:val="Normal1"/>
        <w:widowControl w:val="0"/>
        <w:numPr>
          <w:ilvl w:val="0"/>
          <w:numId w:val="3"/>
        </w:numPr>
        <w:ind w:right="300" w:hanging="359"/>
        <w:contextualSpacing/>
        <w:rPr>
          <w:rFonts w:ascii="Arial" w:eastAsia="Arial" w:hAnsi="Arial" w:cs="Arial"/>
          <w:color w:val="auto"/>
        </w:rPr>
      </w:pPr>
      <w:r w:rsidRPr="00A17D0B">
        <w:rPr>
          <w:color w:val="auto"/>
          <w:highlight w:val="white"/>
        </w:rPr>
        <w:t>The program is meaningfully aligned to local accountability measures.</w:t>
      </w:r>
    </w:p>
    <w:p w14:paraId="7224E101" w14:textId="77777777" w:rsidR="0039148C" w:rsidRPr="00A17D0B" w:rsidRDefault="0039148C" w:rsidP="0039148C">
      <w:pPr>
        <w:pStyle w:val="Normal1"/>
        <w:widowControl w:val="0"/>
        <w:numPr>
          <w:ilvl w:val="0"/>
          <w:numId w:val="3"/>
        </w:numPr>
        <w:ind w:right="300" w:hanging="359"/>
        <w:contextualSpacing/>
        <w:rPr>
          <w:rFonts w:ascii="Arial" w:eastAsia="Arial" w:hAnsi="Arial" w:cs="Arial"/>
          <w:color w:val="auto"/>
        </w:rPr>
      </w:pPr>
      <w:r w:rsidRPr="00A17D0B">
        <w:rPr>
          <w:color w:val="auto"/>
          <w:highlight w:val="white"/>
        </w:rPr>
        <w:t>The program adapts to support education outcomes.</w:t>
      </w:r>
    </w:p>
    <w:p w14:paraId="0BD8D748" w14:textId="77777777" w:rsidR="0039148C" w:rsidRPr="00A17D0B" w:rsidRDefault="0039148C" w:rsidP="0039148C">
      <w:pPr>
        <w:pStyle w:val="Normal1"/>
        <w:widowControl w:val="0"/>
        <w:numPr>
          <w:ilvl w:val="0"/>
          <w:numId w:val="3"/>
        </w:numPr>
        <w:spacing w:after="200"/>
        <w:ind w:right="300" w:hanging="359"/>
        <w:contextualSpacing/>
        <w:rPr>
          <w:rFonts w:ascii="Arial" w:eastAsia="Arial" w:hAnsi="Arial" w:cs="Arial"/>
          <w:color w:val="auto"/>
        </w:rPr>
      </w:pPr>
      <w:r w:rsidRPr="00A17D0B">
        <w:rPr>
          <w:color w:val="auto"/>
          <w:highlight w:val="white"/>
        </w:rPr>
        <w:t>Program aligned to staff professional development goals.</w:t>
      </w:r>
    </w:p>
    <w:p w14:paraId="18C798A2" w14:textId="77777777" w:rsidR="0039148C" w:rsidRPr="00A17D0B" w:rsidRDefault="0039148C" w:rsidP="0039148C">
      <w:pPr>
        <w:pStyle w:val="Normal1"/>
        <w:widowControl w:val="0"/>
        <w:numPr>
          <w:ilvl w:val="0"/>
          <w:numId w:val="3"/>
        </w:numPr>
        <w:spacing w:after="200"/>
        <w:ind w:right="300" w:hanging="359"/>
        <w:contextualSpacing/>
        <w:rPr>
          <w:rFonts w:ascii="Arial" w:eastAsia="Arial" w:hAnsi="Arial" w:cs="Arial"/>
          <w:color w:val="auto"/>
        </w:rPr>
      </w:pPr>
      <w:r w:rsidRPr="00A17D0B">
        <w:rPr>
          <w:color w:val="auto"/>
          <w:highlight w:val="white"/>
        </w:rPr>
        <w:t xml:space="preserve">Alignment to education initiatives to demonstrate </w:t>
      </w:r>
      <w:r>
        <w:rPr>
          <w:color w:val="auto"/>
          <w:highlight w:val="white"/>
        </w:rPr>
        <w:t>how student and staff</w:t>
      </w:r>
      <w:r w:rsidRPr="00A17D0B">
        <w:rPr>
          <w:color w:val="auto"/>
          <w:highlight w:val="white"/>
        </w:rPr>
        <w:t xml:space="preserve"> health supports the mission of schools and its ongoing effectiveness. </w:t>
      </w:r>
    </w:p>
    <w:p w14:paraId="61BCF7C5" w14:textId="7B9BC237" w:rsidR="0039148C" w:rsidRPr="0039148C" w:rsidRDefault="0039148C" w:rsidP="0039148C">
      <w:pPr>
        <w:ind w:left="450"/>
        <w:rPr>
          <w:sz w:val="28"/>
          <w:szCs w:val="28"/>
        </w:rPr>
      </w:pPr>
      <w:r w:rsidRPr="00A17D0B">
        <w:t xml:space="preserve"> </w:t>
      </w:r>
    </w:p>
    <w:sectPr w:rsidR="0039148C" w:rsidRPr="0039148C" w:rsidSect="00D76CE7">
      <w:headerReference w:type="default" r:id="rId8"/>
      <w:footerReference w:type="default" r:id="rId9"/>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1197F595"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36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3C375086" w14:textId="77777777" w:rsidR="0039148C" w:rsidRPr="000D2138" w:rsidRDefault="0039148C" w:rsidP="0039148C">
      <w:pPr>
        <w:pStyle w:val="Normal1"/>
        <w:rPr>
          <w:sz w:val="20"/>
        </w:rPr>
      </w:pPr>
      <w:r w:rsidRPr="000D2138">
        <w:rPr>
          <w:sz w:val="20"/>
          <w:vertAlign w:val="superscript"/>
        </w:rPr>
        <w:footnoteRef/>
      </w:r>
      <w:r w:rsidRPr="000D2138">
        <w:rPr>
          <w:sz w:val="20"/>
        </w:rPr>
        <w:t xml:space="preserve"> </w:t>
      </w:r>
      <w:proofErr w:type="spellStart"/>
      <w:r w:rsidRPr="000D2138">
        <w:rPr>
          <w:rFonts w:eastAsia="Calibri" w:cs="Calibri"/>
          <w:sz w:val="20"/>
          <w:highlight w:val="white"/>
        </w:rPr>
        <w:t>Basch</w:t>
      </w:r>
      <w:proofErr w:type="spellEnd"/>
      <w:r w:rsidRPr="000D2138">
        <w:rPr>
          <w:rFonts w:eastAsia="Calibri" w:cs="Calibri"/>
          <w:sz w:val="20"/>
          <w:highlight w:val="white"/>
        </w:rPr>
        <w:t>, C Healthier students are better learners: A missing link in school reform to close the achievement gap. Equity Matters: Research Review 6.</w:t>
      </w:r>
      <w:r>
        <w:rPr>
          <w:rFonts w:eastAsia="Calibri" w:cs="Calibri"/>
          <w:sz w:val="20"/>
        </w:rPr>
        <w:t xml:space="preserve"> 2010.</w:t>
      </w:r>
    </w:p>
  </w:footnote>
  <w:footnote w:id="2">
    <w:p w14:paraId="3118FE12" w14:textId="77777777" w:rsidR="0039148C" w:rsidRPr="000D2138" w:rsidRDefault="0039148C" w:rsidP="0039148C">
      <w:pPr>
        <w:pStyle w:val="Normal1"/>
        <w:rPr>
          <w:sz w:val="20"/>
        </w:rPr>
      </w:pPr>
      <w:r w:rsidRPr="000D2138">
        <w:rPr>
          <w:sz w:val="20"/>
          <w:vertAlign w:val="superscript"/>
        </w:rPr>
        <w:footnoteRef/>
      </w:r>
      <w:r w:rsidRPr="000D2138">
        <w:rPr>
          <w:sz w:val="20"/>
        </w:rPr>
        <w:t xml:space="preserve"> </w:t>
      </w:r>
      <w:r w:rsidRPr="000D2138">
        <w:rPr>
          <w:rFonts w:eastAsia="Calibri" w:cs="Calibri"/>
          <w:sz w:val="20"/>
          <w:highlight w:val="white"/>
        </w:rPr>
        <w:t xml:space="preserve">Freudenberg N, </w:t>
      </w:r>
      <w:proofErr w:type="spellStart"/>
      <w:r w:rsidRPr="000D2138">
        <w:rPr>
          <w:rFonts w:eastAsia="Calibri" w:cs="Calibri"/>
          <w:sz w:val="20"/>
          <w:highlight w:val="white"/>
        </w:rPr>
        <w:t>Ruglis</w:t>
      </w:r>
      <w:proofErr w:type="spellEnd"/>
      <w:r w:rsidRPr="000D2138">
        <w:rPr>
          <w:rFonts w:eastAsia="Calibri" w:cs="Calibri"/>
          <w:sz w:val="20"/>
          <w:highlight w:val="white"/>
        </w:rPr>
        <w:t xml:space="preserve"> J. Reframing school dropout as a public health issue. </w:t>
      </w:r>
      <w:r w:rsidRPr="00E557F2">
        <w:rPr>
          <w:rFonts w:eastAsia="Calibri" w:cs="Calibri"/>
          <w:i/>
          <w:sz w:val="20"/>
          <w:highlight w:val="white"/>
        </w:rPr>
        <w:t>Preventing Chronic Disease: Public Health Research, Practice and Policy</w:t>
      </w:r>
      <w:r w:rsidRPr="000D2138">
        <w:rPr>
          <w:rFonts w:eastAsia="Calibri" w:cs="Calibri"/>
          <w:sz w:val="20"/>
          <w:highlight w:val="white"/>
        </w:rPr>
        <w:t xml:space="preserve">, </w:t>
      </w:r>
      <w:r>
        <w:rPr>
          <w:rFonts w:eastAsia="Calibri" w:cs="Calibri"/>
          <w:sz w:val="20"/>
          <w:highlight w:val="white"/>
        </w:rPr>
        <w:t>2007,</w:t>
      </w:r>
      <w:r w:rsidRPr="000D2138">
        <w:rPr>
          <w:rFonts w:eastAsia="Calibri" w:cs="Calibri"/>
          <w:sz w:val="20"/>
          <w:highlight w:val="white"/>
        </w:rPr>
        <w:t>4 (4), 1-11.</w:t>
      </w:r>
    </w:p>
  </w:footnote>
  <w:footnote w:id="3">
    <w:p w14:paraId="26D7C6C4" w14:textId="77777777" w:rsidR="0039148C" w:rsidRDefault="0039148C" w:rsidP="0039148C">
      <w:pPr>
        <w:pStyle w:val="Normal1"/>
      </w:pPr>
      <w:r w:rsidRPr="000D2138">
        <w:rPr>
          <w:sz w:val="20"/>
          <w:vertAlign w:val="superscript"/>
        </w:rPr>
        <w:footnoteRef/>
      </w:r>
      <w:r w:rsidRPr="000D2138">
        <w:rPr>
          <w:sz w:val="20"/>
        </w:rPr>
        <w:t xml:space="preserve"> </w:t>
      </w:r>
      <w:r w:rsidRPr="000D2138">
        <w:rPr>
          <w:rFonts w:eastAsia="Calibri" w:cs="Calibri"/>
          <w:sz w:val="20"/>
          <w:highlight w:val="white"/>
        </w:rPr>
        <w:t>Healthy People 2020. Available at www.healthypeople.gov/2020/topicsobjectives2020/</w:t>
      </w:r>
    </w:p>
  </w:footnote>
  <w:footnote w:id="4">
    <w:p w14:paraId="3EF118F5" w14:textId="77777777" w:rsidR="0039148C" w:rsidRDefault="0039148C" w:rsidP="0039148C">
      <w:pPr>
        <w:pStyle w:val="Normal1"/>
      </w:pPr>
      <w:r>
        <w:rPr>
          <w:vertAlign w:val="superscript"/>
        </w:rPr>
        <w:footnoteRef/>
      </w:r>
      <w:r>
        <w:rPr>
          <w:sz w:val="20"/>
        </w:rPr>
        <w:t xml:space="preserve"> Council of Chief State School Officers. </w:t>
      </w:r>
      <w:r>
        <w:rPr>
          <w:i/>
          <w:sz w:val="20"/>
        </w:rPr>
        <w:t>Incorporating Health Indicators into Education Accountability Systems.</w:t>
      </w:r>
      <w:r>
        <w:rPr>
          <w:sz w:val="20"/>
        </w:rPr>
        <w:t xml:space="preserve"> 1998. Washington 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39148C">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D65"/>
    <w:multiLevelType w:val="hybridMultilevel"/>
    <w:tmpl w:val="CEAE8FCA"/>
    <w:lvl w:ilvl="0" w:tplc="9C806A98">
      <w:start w:val="1"/>
      <w:numFmt w:val="bullet"/>
      <w:lvlText w:val="•"/>
      <w:lvlJc w:val="left"/>
      <w:pPr>
        <w:tabs>
          <w:tab w:val="num" w:pos="720"/>
        </w:tabs>
        <w:ind w:left="720" w:hanging="360"/>
      </w:pPr>
      <w:rPr>
        <w:rFonts w:ascii="Arial" w:hAnsi="Arial" w:hint="default"/>
      </w:rPr>
    </w:lvl>
    <w:lvl w:ilvl="1" w:tplc="C09A4F6A" w:tentative="1">
      <w:start w:val="1"/>
      <w:numFmt w:val="bullet"/>
      <w:lvlText w:val="•"/>
      <w:lvlJc w:val="left"/>
      <w:pPr>
        <w:tabs>
          <w:tab w:val="num" w:pos="1440"/>
        </w:tabs>
        <w:ind w:left="1440" w:hanging="360"/>
      </w:pPr>
      <w:rPr>
        <w:rFonts w:ascii="Arial" w:hAnsi="Arial" w:hint="default"/>
      </w:rPr>
    </w:lvl>
    <w:lvl w:ilvl="2" w:tplc="05F4B956" w:tentative="1">
      <w:start w:val="1"/>
      <w:numFmt w:val="bullet"/>
      <w:lvlText w:val="•"/>
      <w:lvlJc w:val="left"/>
      <w:pPr>
        <w:tabs>
          <w:tab w:val="num" w:pos="2160"/>
        </w:tabs>
        <w:ind w:left="2160" w:hanging="360"/>
      </w:pPr>
      <w:rPr>
        <w:rFonts w:ascii="Arial" w:hAnsi="Arial" w:hint="default"/>
      </w:rPr>
    </w:lvl>
    <w:lvl w:ilvl="3" w:tplc="9AFC40B8" w:tentative="1">
      <w:start w:val="1"/>
      <w:numFmt w:val="bullet"/>
      <w:lvlText w:val="•"/>
      <w:lvlJc w:val="left"/>
      <w:pPr>
        <w:tabs>
          <w:tab w:val="num" w:pos="2880"/>
        </w:tabs>
        <w:ind w:left="2880" w:hanging="360"/>
      </w:pPr>
      <w:rPr>
        <w:rFonts w:ascii="Arial" w:hAnsi="Arial" w:hint="default"/>
      </w:rPr>
    </w:lvl>
    <w:lvl w:ilvl="4" w:tplc="27A0A2EC" w:tentative="1">
      <w:start w:val="1"/>
      <w:numFmt w:val="bullet"/>
      <w:lvlText w:val="•"/>
      <w:lvlJc w:val="left"/>
      <w:pPr>
        <w:tabs>
          <w:tab w:val="num" w:pos="3600"/>
        </w:tabs>
        <w:ind w:left="3600" w:hanging="360"/>
      </w:pPr>
      <w:rPr>
        <w:rFonts w:ascii="Arial" w:hAnsi="Arial" w:hint="default"/>
      </w:rPr>
    </w:lvl>
    <w:lvl w:ilvl="5" w:tplc="E228CE22" w:tentative="1">
      <w:start w:val="1"/>
      <w:numFmt w:val="bullet"/>
      <w:lvlText w:val="•"/>
      <w:lvlJc w:val="left"/>
      <w:pPr>
        <w:tabs>
          <w:tab w:val="num" w:pos="4320"/>
        </w:tabs>
        <w:ind w:left="4320" w:hanging="360"/>
      </w:pPr>
      <w:rPr>
        <w:rFonts w:ascii="Arial" w:hAnsi="Arial" w:hint="default"/>
      </w:rPr>
    </w:lvl>
    <w:lvl w:ilvl="6" w:tplc="A30EF14C" w:tentative="1">
      <w:start w:val="1"/>
      <w:numFmt w:val="bullet"/>
      <w:lvlText w:val="•"/>
      <w:lvlJc w:val="left"/>
      <w:pPr>
        <w:tabs>
          <w:tab w:val="num" w:pos="5040"/>
        </w:tabs>
        <w:ind w:left="5040" w:hanging="360"/>
      </w:pPr>
      <w:rPr>
        <w:rFonts w:ascii="Arial" w:hAnsi="Arial" w:hint="default"/>
      </w:rPr>
    </w:lvl>
    <w:lvl w:ilvl="7" w:tplc="95E29C16" w:tentative="1">
      <w:start w:val="1"/>
      <w:numFmt w:val="bullet"/>
      <w:lvlText w:val="•"/>
      <w:lvlJc w:val="left"/>
      <w:pPr>
        <w:tabs>
          <w:tab w:val="num" w:pos="5760"/>
        </w:tabs>
        <w:ind w:left="5760" w:hanging="360"/>
      </w:pPr>
      <w:rPr>
        <w:rFonts w:ascii="Arial" w:hAnsi="Arial" w:hint="default"/>
      </w:rPr>
    </w:lvl>
    <w:lvl w:ilvl="8" w:tplc="85301A10" w:tentative="1">
      <w:start w:val="1"/>
      <w:numFmt w:val="bullet"/>
      <w:lvlText w:val="•"/>
      <w:lvlJc w:val="left"/>
      <w:pPr>
        <w:tabs>
          <w:tab w:val="num" w:pos="6480"/>
        </w:tabs>
        <w:ind w:left="6480" w:hanging="360"/>
      </w:pPr>
      <w:rPr>
        <w:rFonts w:ascii="Arial" w:hAnsi="Arial" w:hint="default"/>
      </w:rPr>
    </w:lvl>
  </w:abstractNum>
  <w:abstractNum w:abstractNumId="1">
    <w:nsid w:val="255B4F23"/>
    <w:multiLevelType w:val="multilevel"/>
    <w:tmpl w:val="56AA1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CB542E1"/>
    <w:multiLevelType w:val="multilevel"/>
    <w:tmpl w:val="E22C3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1C1EF9"/>
    <w:rsid w:val="00261637"/>
    <w:rsid w:val="002D147B"/>
    <w:rsid w:val="0036316F"/>
    <w:rsid w:val="0039148C"/>
    <w:rsid w:val="00595913"/>
    <w:rsid w:val="00652D89"/>
    <w:rsid w:val="007F74A1"/>
    <w:rsid w:val="00C519BE"/>
    <w:rsid w:val="00C81A32"/>
    <w:rsid w:val="00CC5E63"/>
    <w:rsid w:val="00CF01A1"/>
    <w:rsid w:val="00EE0FF1"/>
    <w:rsid w:val="00F35585"/>
    <w:rsid w:val="00F5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0B6E0A00-3C8A-4F3E-BA51-79759C43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39148C"/>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4259">
      <w:bodyDiv w:val="1"/>
      <w:marLeft w:val="0"/>
      <w:marRight w:val="0"/>
      <w:marTop w:val="0"/>
      <w:marBottom w:val="0"/>
      <w:divBdr>
        <w:top w:val="none" w:sz="0" w:space="0" w:color="auto"/>
        <w:left w:val="none" w:sz="0" w:space="0" w:color="auto"/>
        <w:bottom w:val="none" w:sz="0" w:space="0" w:color="auto"/>
        <w:right w:val="none" w:sz="0" w:space="0" w:color="auto"/>
      </w:divBdr>
      <w:divsChild>
        <w:div w:id="209435541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9151-FE05-4A78-9B3F-F441E6B5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2016-08-17T14:51:00Z</cp:lastPrinted>
  <dcterms:created xsi:type="dcterms:W3CDTF">2016-08-17T14:51:00Z</dcterms:created>
  <dcterms:modified xsi:type="dcterms:W3CDTF">2016-08-17T14:51:00Z</dcterms:modified>
</cp:coreProperties>
</file>